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84FD" w14:textId="77777777" w:rsidR="0015109B" w:rsidRPr="00250D6F" w:rsidRDefault="0015109B" w:rsidP="0015109B">
      <w:pPr>
        <w:jc w:val="both"/>
        <w:rPr>
          <w:rFonts w:ascii="Arial" w:hAnsi="Arial" w:cs="Arial"/>
          <w:b/>
          <w:bCs/>
        </w:rPr>
      </w:pPr>
      <w:bookmarkStart w:id="0" w:name="_Hlk519855199"/>
      <w:r w:rsidRPr="00250D6F">
        <w:rPr>
          <w:rFonts w:ascii="Arial" w:hAnsi="Arial" w:cs="Arial"/>
          <w:b/>
          <w:bCs/>
        </w:rPr>
        <w:t>Szczegółowy opis przedmiotu zamówienia</w:t>
      </w:r>
    </w:p>
    <w:p w14:paraId="7730A1A4" w14:textId="77777777" w:rsidR="0015109B" w:rsidRDefault="0015109B" w:rsidP="0015109B">
      <w:pPr>
        <w:jc w:val="both"/>
      </w:pPr>
      <w:r>
        <w:rPr>
          <w:b/>
          <w:bCs/>
        </w:rPr>
        <w:t>Przedmiotem zamówienia jest wykonanie dokumentacji cyfrowej muzealiów Muzeum Gdańska</w:t>
      </w:r>
      <w:r w:rsidRPr="003E25A5">
        <w:rPr>
          <w:b/>
          <w:bCs/>
        </w:rPr>
        <w:t>,</w:t>
      </w:r>
      <w:r>
        <w:rPr>
          <w:b/>
          <w:bCs/>
        </w:rPr>
        <w:t xml:space="preserve"> w ramach programu „Kultura Cyfrowa 2019”, realizowanego ze środków Ministerstwa Kultury i Dziedzictwa Narodowego.  </w:t>
      </w:r>
    </w:p>
    <w:p w14:paraId="1FB61893" w14:textId="77777777" w:rsidR="0015109B" w:rsidRDefault="0015109B" w:rsidP="0015109B">
      <w:pPr>
        <w:pStyle w:val="Nagwek1"/>
        <w:spacing w:after="240"/>
        <w:rPr>
          <w:sz w:val="24"/>
        </w:rPr>
      </w:pPr>
      <w:r w:rsidRPr="00AE50B7">
        <w:rPr>
          <w:sz w:val="24"/>
        </w:rPr>
        <w:t>Informacje wstępne</w:t>
      </w:r>
    </w:p>
    <w:p w14:paraId="27D98CF4" w14:textId="77777777" w:rsidR="0015109B" w:rsidRPr="00BC21B1" w:rsidRDefault="0015109B" w:rsidP="0015109B">
      <w:pPr>
        <w:spacing w:after="0"/>
      </w:pPr>
      <w:r>
        <w:t>Główne cele realizowanego zamówienia:</w:t>
      </w:r>
    </w:p>
    <w:p w14:paraId="60014667" w14:textId="77777777" w:rsidR="0015109B" w:rsidRDefault="0015109B" w:rsidP="0015109B">
      <w:pPr>
        <w:numPr>
          <w:ilvl w:val="0"/>
          <w:numId w:val="8"/>
        </w:numPr>
        <w:spacing w:before="240" w:after="0" w:line="259" w:lineRule="auto"/>
        <w:jc w:val="both"/>
      </w:pPr>
      <w:r>
        <w:t>Udostępnienie</w:t>
      </w:r>
      <w:r w:rsidRPr="00AA1507">
        <w:t xml:space="preserve"> </w:t>
      </w:r>
      <w:r>
        <w:t xml:space="preserve">wysokiej jakości zasobów online. </w:t>
      </w:r>
    </w:p>
    <w:p w14:paraId="2BF6CE7C" w14:textId="77777777" w:rsidR="0015109B" w:rsidRPr="00AA1507" w:rsidRDefault="0015109B" w:rsidP="0015109B">
      <w:pPr>
        <w:numPr>
          <w:ilvl w:val="0"/>
          <w:numId w:val="8"/>
        </w:numPr>
        <w:spacing w:after="0" w:line="259" w:lineRule="auto"/>
        <w:jc w:val="both"/>
      </w:pPr>
      <w:r>
        <w:t>Ponowne wykorzystanie informacji sektora publicznego.</w:t>
      </w:r>
    </w:p>
    <w:p w14:paraId="365C488F" w14:textId="77777777" w:rsidR="0015109B" w:rsidRPr="00AA1507" w:rsidRDefault="0015109B" w:rsidP="0015109B">
      <w:pPr>
        <w:numPr>
          <w:ilvl w:val="0"/>
          <w:numId w:val="8"/>
        </w:numPr>
        <w:spacing w:after="0" w:line="259" w:lineRule="auto"/>
        <w:jc w:val="both"/>
      </w:pPr>
      <w:r>
        <w:t>Zabezpieczenie cyfrowej wersji zasobu poprzez wytworzenie wizualnej dokumentacji naukowej (negatywy cyfrowe).</w:t>
      </w:r>
    </w:p>
    <w:p w14:paraId="0D5863CE" w14:textId="77777777" w:rsidR="0015109B" w:rsidRDefault="0015109B" w:rsidP="0015109B">
      <w:pPr>
        <w:numPr>
          <w:ilvl w:val="0"/>
          <w:numId w:val="8"/>
        </w:numPr>
        <w:spacing w:after="0" w:line="259" w:lineRule="auto"/>
        <w:jc w:val="both"/>
      </w:pPr>
      <w:r>
        <w:t xml:space="preserve">Ewidencja na potrzeby systemu zarządzania bazą danych do codziennej pracy. </w:t>
      </w:r>
    </w:p>
    <w:p w14:paraId="12F97EC0" w14:textId="77777777" w:rsidR="0015109B" w:rsidRPr="00AA1507" w:rsidRDefault="0015109B" w:rsidP="0015109B">
      <w:pPr>
        <w:numPr>
          <w:ilvl w:val="0"/>
          <w:numId w:val="8"/>
        </w:numPr>
        <w:spacing w:after="160" w:line="259" w:lineRule="auto"/>
        <w:jc w:val="both"/>
      </w:pPr>
      <w:r>
        <w:t>Opracowanie merytoryczne zbioru.</w:t>
      </w:r>
    </w:p>
    <w:p w14:paraId="088045F9" w14:textId="77777777" w:rsidR="0015109B" w:rsidRPr="00A12B63" w:rsidRDefault="0015109B" w:rsidP="0015109B">
      <w:pPr>
        <w:spacing w:after="0"/>
        <w:jc w:val="both"/>
        <w:rPr>
          <w:u w:val="single"/>
        </w:rPr>
      </w:pPr>
      <w:r w:rsidRPr="00A12B63">
        <w:rPr>
          <w:u w:val="single"/>
        </w:rPr>
        <w:t xml:space="preserve">W trakcie prac należy stosować się do zaleceń zawartych w opracowaniu „E. Bunsch, P. </w:t>
      </w:r>
      <w:proofErr w:type="spellStart"/>
      <w:r w:rsidRPr="00A12B63">
        <w:rPr>
          <w:u w:val="single"/>
        </w:rPr>
        <w:t>Cereficki</w:t>
      </w:r>
      <w:proofErr w:type="spellEnd"/>
      <w:r w:rsidRPr="00A12B63">
        <w:rPr>
          <w:u w:val="single"/>
        </w:rPr>
        <w:t xml:space="preserve">, </w:t>
      </w:r>
      <w:r w:rsidRPr="00A12B63">
        <w:rPr>
          <w:u w:val="single"/>
        </w:rPr>
        <w:br/>
        <w:t>W. Pyzik, R. Sitnik, W. Staszkiewicz, M. Szala, C</w:t>
      </w:r>
      <w:r w:rsidRPr="00A12B63">
        <w:rPr>
          <w:i/>
          <w:u w:val="single"/>
        </w:rPr>
        <w:t>yfrowe Odwzorowania Muzealiów – Parametry Techniczne, Modelowe Rozwiązania</w:t>
      </w:r>
      <w:r w:rsidRPr="00A12B63">
        <w:rPr>
          <w:u w:val="single"/>
        </w:rPr>
        <w:t xml:space="preserve">, NIMOZ, Warszawa 2012” [dalej cyt. jako </w:t>
      </w:r>
      <w:r w:rsidRPr="00A12B63">
        <w:rPr>
          <w:i/>
          <w:u w:val="single"/>
        </w:rPr>
        <w:t>Cyfrowe Odwzorowania Muzealiów…</w:t>
      </w:r>
      <w:r w:rsidRPr="00A12B63">
        <w:rPr>
          <w:u w:val="single"/>
        </w:rPr>
        <w:t>], w zakresie dotyczącym realizowanego projektu.</w:t>
      </w:r>
    </w:p>
    <w:p w14:paraId="3C091A1A" w14:textId="77777777" w:rsidR="0015109B" w:rsidRDefault="0015109B" w:rsidP="0015109B">
      <w:pPr>
        <w:spacing w:after="0"/>
        <w:jc w:val="both"/>
      </w:pPr>
    </w:p>
    <w:p w14:paraId="443B3D93" w14:textId="77777777" w:rsidR="0015109B" w:rsidRDefault="0015109B" w:rsidP="0015109B">
      <w:pPr>
        <w:spacing w:after="0"/>
        <w:jc w:val="both"/>
      </w:pPr>
      <w:r>
        <w:t xml:space="preserve">Zadanie realizowane jest zgodnie ze strategią Muzeum Gdańska i uwzględnia wysoką jakość jako wiodącą wartość tworzonych produktów. </w:t>
      </w:r>
    </w:p>
    <w:p w14:paraId="2FB5F9FC" w14:textId="77777777" w:rsidR="0015109B" w:rsidRDefault="0015109B" w:rsidP="0015109B">
      <w:pPr>
        <w:spacing w:after="0"/>
        <w:jc w:val="both"/>
      </w:pPr>
      <w:r>
        <w:t>Zadanie realizowane jest zgodnie z elementami metodyki zarządzania projektami Prince2.</w:t>
      </w:r>
    </w:p>
    <w:p w14:paraId="7343FA42" w14:textId="77777777" w:rsidR="0015109B" w:rsidRPr="00D533E6" w:rsidRDefault="0015109B" w:rsidP="0015109B">
      <w:pPr>
        <w:spacing w:after="0"/>
        <w:jc w:val="both"/>
      </w:pPr>
      <w:r>
        <w:t>Zadanie realizowane jest zgodnie ze „</w:t>
      </w:r>
      <w:r w:rsidRPr="00D533E6">
        <w:t>Standard</w:t>
      </w:r>
      <w:r>
        <w:t>em</w:t>
      </w:r>
      <w:r w:rsidRPr="00D533E6">
        <w:t xml:space="preserve"> nazewnictwa</w:t>
      </w:r>
      <w:r>
        <w:t xml:space="preserve"> </w:t>
      </w:r>
      <w:r w:rsidRPr="00D533E6">
        <w:t>i katalogowania plików dokumentacji wizualnej zbiorów muzealnych</w:t>
      </w:r>
      <w:r>
        <w:t xml:space="preserve"> </w:t>
      </w:r>
      <w:r w:rsidRPr="00D533E6">
        <w:t>KAPER</w:t>
      </w:r>
      <w:r>
        <w:t xml:space="preserve">” wdrożonej w </w:t>
      </w:r>
      <w:r w:rsidRPr="00CA3024">
        <w:t>Muzeum Gdańska</w:t>
      </w:r>
      <w:r>
        <w:t>.</w:t>
      </w:r>
    </w:p>
    <w:p w14:paraId="11E49B48" w14:textId="77777777" w:rsidR="0015109B" w:rsidRDefault="0015109B" w:rsidP="0015109B">
      <w:pPr>
        <w:pStyle w:val="Nagwek1"/>
        <w:spacing w:after="240"/>
        <w:rPr>
          <w:sz w:val="24"/>
        </w:rPr>
      </w:pPr>
      <w:r w:rsidRPr="00AE50B7">
        <w:rPr>
          <w:sz w:val="24"/>
        </w:rPr>
        <w:t>Lokalizacja obiektów</w:t>
      </w:r>
    </w:p>
    <w:p w14:paraId="0A25E2D0" w14:textId="77777777" w:rsidR="0015109B" w:rsidRDefault="0015109B" w:rsidP="0015109B">
      <w:pPr>
        <w:pStyle w:val="Default"/>
        <w:jc w:val="both"/>
      </w:pPr>
      <w:r>
        <w:t xml:space="preserve">Zespół obiektów przewidzianych do digitalizacji zlokalizowany jest w siedzibie muzeum </w:t>
      </w:r>
      <w:r>
        <w:br/>
        <w:t>w Ratuszu Głównego Miasta w Gdańsku (</w:t>
      </w:r>
      <w:r>
        <w:rPr>
          <w:sz w:val="22"/>
          <w:szCs w:val="22"/>
        </w:rPr>
        <w:t>ul. Długa 46/47 80-831 Gdańsk)</w:t>
      </w:r>
      <w:r>
        <w:t xml:space="preserve">. </w:t>
      </w:r>
    </w:p>
    <w:p w14:paraId="6A7B0E3E" w14:textId="77777777" w:rsidR="0015109B" w:rsidRDefault="0015109B" w:rsidP="0015109B">
      <w:pPr>
        <w:pStyle w:val="Nagwek1"/>
        <w:spacing w:after="240"/>
        <w:rPr>
          <w:sz w:val="24"/>
        </w:rPr>
      </w:pPr>
      <w:r w:rsidRPr="00AE50B7">
        <w:rPr>
          <w:sz w:val="24"/>
        </w:rPr>
        <w:t>Obiekty i ich specyfika</w:t>
      </w:r>
    </w:p>
    <w:p w14:paraId="0DDE41B5" w14:textId="77777777" w:rsidR="0015109B" w:rsidRDefault="0015109B" w:rsidP="0015109B">
      <w:pPr>
        <w:jc w:val="both"/>
      </w:pPr>
      <w:r>
        <w:t>Zespół  muzealiów</w:t>
      </w:r>
      <w:r w:rsidRPr="00AE50B7">
        <w:t xml:space="preserve"> </w:t>
      </w:r>
      <w:r>
        <w:t xml:space="preserve">został zestawiony w tabeli poniżej.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3020"/>
        <w:gridCol w:w="3020"/>
        <w:gridCol w:w="3020"/>
      </w:tblGrid>
      <w:tr w:rsidR="0015109B" w14:paraId="664FE602" w14:textId="77777777" w:rsidTr="00CF57C8">
        <w:tc>
          <w:tcPr>
            <w:tcW w:w="3020" w:type="dxa"/>
          </w:tcPr>
          <w:p w14:paraId="228B86C9" w14:textId="77777777" w:rsidR="0015109B" w:rsidRPr="00A73A1F" w:rsidRDefault="0015109B" w:rsidP="00CF57C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6DF9FB60">
              <w:rPr>
                <w:b/>
                <w:bCs/>
                <w:color w:val="1F4E79"/>
                <w:sz w:val="24"/>
                <w:szCs w:val="24"/>
              </w:rPr>
              <w:t>Rodzaj</w:t>
            </w:r>
          </w:p>
          <w:p w14:paraId="5DBE922D" w14:textId="77777777" w:rsidR="0015109B" w:rsidRPr="00A73A1F" w:rsidRDefault="0015109B" w:rsidP="00CF57C8">
            <w:pPr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2FABB49" w14:textId="77777777" w:rsidR="0015109B" w:rsidRPr="00A73A1F" w:rsidRDefault="0015109B" w:rsidP="00CF57C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6DF9FB60">
              <w:rPr>
                <w:b/>
                <w:bCs/>
                <w:color w:val="1F4E79"/>
                <w:sz w:val="24"/>
                <w:szCs w:val="24"/>
              </w:rPr>
              <w:t>Materiał</w:t>
            </w:r>
          </w:p>
        </w:tc>
        <w:tc>
          <w:tcPr>
            <w:tcW w:w="3021" w:type="dxa"/>
          </w:tcPr>
          <w:p w14:paraId="17EFD1CA" w14:textId="77777777" w:rsidR="0015109B" w:rsidRPr="00A73A1F" w:rsidRDefault="0015109B" w:rsidP="00CF57C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6DF9FB60">
              <w:rPr>
                <w:b/>
                <w:bCs/>
                <w:color w:val="1F4E79"/>
                <w:sz w:val="24"/>
                <w:szCs w:val="24"/>
              </w:rPr>
              <w:t>Ilość</w:t>
            </w:r>
          </w:p>
        </w:tc>
      </w:tr>
      <w:tr w:rsidR="0015109B" w14:paraId="23CC2A0C" w14:textId="77777777" w:rsidTr="00CF57C8">
        <w:tc>
          <w:tcPr>
            <w:tcW w:w="3020" w:type="dxa"/>
          </w:tcPr>
          <w:p w14:paraId="2237BA56" w14:textId="77777777" w:rsidR="0015109B" w:rsidRDefault="0015109B" w:rsidP="00CF57C8">
            <w:r>
              <w:t>Pocztówki</w:t>
            </w:r>
          </w:p>
        </w:tc>
        <w:tc>
          <w:tcPr>
            <w:tcW w:w="3021" w:type="dxa"/>
          </w:tcPr>
          <w:p w14:paraId="4EF44664" w14:textId="77777777" w:rsidR="0015109B" w:rsidRDefault="0015109B" w:rsidP="00CF57C8">
            <w:r>
              <w:t xml:space="preserve">Papier,  </w:t>
            </w:r>
          </w:p>
        </w:tc>
        <w:tc>
          <w:tcPr>
            <w:tcW w:w="3021" w:type="dxa"/>
          </w:tcPr>
          <w:p w14:paraId="0C3D394E" w14:textId="77777777" w:rsidR="0015109B" w:rsidRDefault="0015109B" w:rsidP="00CF57C8">
            <w:r>
              <w:t>1459 sztuk</w:t>
            </w:r>
          </w:p>
        </w:tc>
      </w:tr>
      <w:tr w:rsidR="0015109B" w14:paraId="6E71BF60" w14:textId="77777777" w:rsidTr="00CF57C8">
        <w:tc>
          <w:tcPr>
            <w:tcW w:w="3020" w:type="dxa"/>
          </w:tcPr>
          <w:p w14:paraId="6A75D77D" w14:textId="77777777" w:rsidR="0015109B" w:rsidRDefault="0015109B" w:rsidP="00CF57C8">
            <w:r>
              <w:t>Negatywy</w:t>
            </w:r>
          </w:p>
        </w:tc>
        <w:tc>
          <w:tcPr>
            <w:tcW w:w="3021" w:type="dxa"/>
          </w:tcPr>
          <w:p w14:paraId="45D8BB0A" w14:textId="77777777" w:rsidR="0015109B" w:rsidRDefault="0015109B" w:rsidP="00CF57C8">
            <w:r>
              <w:t>Błona fotograficzna</w:t>
            </w:r>
          </w:p>
        </w:tc>
        <w:tc>
          <w:tcPr>
            <w:tcW w:w="3021" w:type="dxa"/>
          </w:tcPr>
          <w:p w14:paraId="268C464D" w14:textId="77777777" w:rsidR="0015109B" w:rsidRDefault="0015109B" w:rsidP="00CF57C8">
            <w:r>
              <w:t>1600</w:t>
            </w:r>
          </w:p>
        </w:tc>
      </w:tr>
      <w:tr w:rsidR="0015109B" w14:paraId="5A1C54BC" w14:textId="77777777" w:rsidTr="00CF57C8">
        <w:tc>
          <w:tcPr>
            <w:tcW w:w="3020" w:type="dxa"/>
          </w:tcPr>
          <w:p w14:paraId="1CC7CA0D" w14:textId="77777777" w:rsidR="0015109B" w:rsidRDefault="0015109B" w:rsidP="00CF57C8">
            <w:r>
              <w:lastRenderedPageBreak/>
              <w:t xml:space="preserve">Fotografie w </w:t>
            </w:r>
            <w:proofErr w:type="spellStart"/>
            <w:r>
              <w:t>antyramach</w:t>
            </w:r>
            <w:proofErr w:type="spellEnd"/>
          </w:p>
        </w:tc>
        <w:tc>
          <w:tcPr>
            <w:tcW w:w="3021" w:type="dxa"/>
          </w:tcPr>
          <w:p w14:paraId="379F1816" w14:textId="77777777" w:rsidR="0015109B" w:rsidRDefault="0015109B" w:rsidP="00CF57C8">
            <w:r>
              <w:t>Papier</w:t>
            </w:r>
          </w:p>
        </w:tc>
        <w:tc>
          <w:tcPr>
            <w:tcW w:w="3021" w:type="dxa"/>
          </w:tcPr>
          <w:p w14:paraId="6D6BC2C8" w14:textId="77777777" w:rsidR="0015109B" w:rsidRDefault="0015109B" w:rsidP="00CF57C8">
            <w:r>
              <w:t>48</w:t>
            </w:r>
          </w:p>
        </w:tc>
      </w:tr>
      <w:tr w:rsidR="0015109B" w14:paraId="0E3BD247" w14:textId="77777777" w:rsidTr="00CF57C8">
        <w:tc>
          <w:tcPr>
            <w:tcW w:w="6041" w:type="dxa"/>
            <w:gridSpan w:val="2"/>
            <w:tcBorders>
              <w:left w:val="nil"/>
              <w:bottom w:val="nil"/>
            </w:tcBorders>
          </w:tcPr>
          <w:p w14:paraId="0BEBA7A9" w14:textId="77777777" w:rsidR="0015109B" w:rsidRDefault="0015109B" w:rsidP="00CF57C8"/>
        </w:tc>
        <w:tc>
          <w:tcPr>
            <w:tcW w:w="3021" w:type="dxa"/>
            <w:shd w:val="clear" w:color="auto" w:fill="D9D9D9" w:themeFill="background1" w:themeFillShade="D9"/>
          </w:tcPr>
          <w:p w14:paraId="6A8BBF6E" w14:textId="77777777" w:rsidR="0015109B" w:rsidRDefault="0015109B" w:rsidP="00CF57C8">
            <w:r>
              <w:t>1705 sztuk</w:t>
            </w:r>
          </w:p>
        </w:tc>
      </w:tr>
    </w:tbl>
    <w:p w14:paraId="27FEB62D" w14:textId="77777777" w:rsidR="0015109B" w:rsidRPr="0038403C" w:rsidRDefault="0015109B" w:rsidP="0015109B">
      <w:pPr>
        <w:jc w:val="both"/>
        <w:rPr>
          <w:sz w:val="18"/>
        </w:rPr>
      </w:pPr>
      <w:r w:rsidRPr="0038403C">
        <w:rPr>
          <w:sz w:val="18"/>
        </w:rPr>
        <w:t>Fig.1 Zestawienie muzealiów</w:t>
      </w:r>
      <w:r>
        <w:rPr>
          <w:sz w:val="18"/>
        </w:rPr>
        <w:t xml:space="preserve"> przewidzianych do digitalizacji w ramach zadania.</w:t>
      </w:r>
    </w:p>
    <w:p w14:paraId="719FA1A7" w14:textId="77777777" w:rsidR="0015109B" w:rsidRDefault="0015109B" w:rsidP="0015109B">
      <w:pPr>
        <w:pStyle w:val="Nagwek1"/>
        <w:spacing w:after="240"/>
        <w:rPr>
          <w:sz w:val="24"/>
        </w:rPr>
      </w:pPr>
    </w:p>
    <w:p w14:paraId="1409848C" w14:textId="77777777" w:rsidR="0015109B" w:rsidRDefault="0015109B" w:rsidP="0015109B">
      <w:pPr>
        <w:pStyle w:val="Nagwek1"/>
        <w:spacing w:after="240"/>
        <w:rPr>
          <w:sz w:val="24"/>
        </w:rPr>
      </w:pPr>
    </w:p>
    <w:p w14:paraId="4C2EB285" w14:textId="77777777" w:rsidR="0015109B" w:rsidRDefault="0015109B" w:rsidP="0015109B">
      <w:pPr>
        <w:pStyle w:val="Nagwek1"/>
        <w:spacing w:after="240"/>
        <w:rPr>
          <w:sz w:val="24"/>
        </w:rPr>
      </w:pPr>
      <w:r w:rsidRPr="00AE50B7">
        <w:rPr>
          <w:sz w:val="24"/>
        </w:rPr>
        <w:t xml:space="preserve">Parametry </w:t>
      </w:r>
      <w:r>
        <w:rPr>
          <w:sz w:val="24"/>
        </w:rPr>
        <w:t>digitalizacji</w:t>
      </w:r>
      <w:r w:rsidRPr="00AE50B7">
        <w:rPr>
          <w:sz w:val="24"/>
        </w:rPr>
        <w:t xml:space="preserve"> </w:t>
      </w:r>
    </w:p>
    <w:p w14:paraId="368372FB" w14:textId="77777777" w:rsidR="0015109B" w:rsidRDefault="0015109B" w:rsidP="0015109B">
      <w:pPr>
        <w:jc w:val="both"/>
      </w:pPr>
      <w:r>
        <w:t>Digitalizacja zespołu należy przeprowadzić zgodnie z poniższymi parametrami:</w:t>
      </w:r>
    </w:p>
    <w:p w14:paraId="6BDED8C7" w14:textId="77777777" w:rsidR="0015109B" w:rsidRDefault="0015109B" w:rsidP="0015109B">
      <w:pPr>
        <w:pStyle w:val="Default"/>
        <w:numPr>
          <w:ilvl w:val="0"/>
          <w:numId w:val="10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Pozyskane dane wyjściowe w formacie RAW.</w:t>
      </w:r>
    </w:p>
    <w:p w14:paraId="5F2F4313" w14:textId="77777777" w:rsidR="0015109B" w:rsidRDefault="0015109B" w:rsidP="0015109B">
      <w:pPr>
        <w:pStyle w:val="Default"/>
        <w:numPr>
          <w:ilvl w:val="0"/>
          <w:numId w:val="10"/>
        </w:numPr>
        <w:spacing w:after="40"/>
        <w:jc w:val="both"/>
        <w:rPr>
          <w:sz w:val="22"/>
          <w:szCs w:val="22"/>
        </w:rPr>
      </w:pPr>
      <w:bookmarkStart w:id="1" w:name="_Hlk484215349"/>
      <w:r>
        <w:rPr>
          <w:sz w:val="22"/>
          <w:szCs w:val="22"/>
        </w:rPr>
        <w:t>Dostarczenie plików .jpg dla każdego wytworzonego pliku RAW. Preferowane jest tworzenie plików .jpg z plików RAW z ustawionym balansem bieli.</w:t>
      </w:r>
    </w:p>
    <w:bookmarkEnd w:id="1"/>
    <w:p w14:paraId="332D289D" w14:textId="77777777" w:rsidR="0015109B" w:rsidRDefault="0015109B" w:rsidP="0015109B">
      <w:pPr>
        <w:pStyle w:val="Default"/>
        <w:numPr>
          <w:ilvl w:val="0"/>
          <w:numId w:val="10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Dłuższy bok w pikselach:</w:t>
      </w:r>
    </w:p>
    <w:p w14:paraId="4B15CC75" w14:textId="0408ED65" w:rsidR="009946E8" w:rsidRDefault="0015109B" w:rsidP="0015109B">
      <w:pPr>
        <w:pStyle w:val="Default"/>
        <w:spacing w:after="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- 9000 dla pocztówek, fotografii </w:t>
      </w:r>
      <w:bookmarkStart w:id="2" w:name="_GoBack"/>
      <w:bookmarkEnd w:id="2"/>
    </w:p>
    <w:p w14:paraId="667BDA69" w14:textId="1205D0F8" w:rsidR="0015109B" w:rsidRDefault="009946E8" w:rsidP="009946E8">
      <w:pPr>
        <w:pStyle w:val="Default"/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- 6000 dla </w:t>
      </w:r>
      <w:r w:rsidR="0015109B">
        <w:rPr>
          <w:sz w:val="22"/>
          <w:szCs w:val="22"/>
        </w:rPr>
        <w:t xml:space="preserve">negatywów, </w:t>
      </w:r>
    </w:p>
    <w:p w14:paraId="3876E402" w14:textId="77777777" w:rsidR="0015109B" w:rsidRDefault="0015109B" w:rsidP="0015109B">
      <w:pPr>
        <w:pStyle w:val="Default"/>
        <w:numPr>
          <w:ilvl w:val="0"/>
          <w:numId w:val="10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Dla wszystkich obiektów należy wykonywać dokumentację umieszczając wzornik koloru (wzornik dla fotografii cyfrowej zawierający pola: biały i szary) w kadrze. Wyjątek stanowią:</w:t>
      </w:r>
    </w:p>
    <w:p w14:paraId="4415EFDA" w14:textId="77777777" w:rsidR="0015109B" w:rsidRDefault="0015109B" w:rsidP="0015109B">
      <w:pPr>
        <w:pStyle w:val="Default"/>
        <w:numPr>
          <w:ilvl w:val="0"/>
          <w:numId w:val="12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fotografie prezentacyjne (patrz punkt 7 poniżej), </w:t>
      </w:r>
    </w:p>
    <w:p w14:paraId="189F50D8" w14:textId="77777777" w:rsidR="0015109B" w:rsidRDefault="0015109B" w:rsidP="0015109B">
      <w:pPr>
        <w:pStyle w:val="Default"/>
        <w:numPr>
          <w:ilvl w:val="0"/>
          <w:numId w:val="12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sytuacje, gdy wzornik wpływa na jakość odwzorowania i którego nie można wyeliminować, ze względu na kompozycję kadru (każdorazowo ustalane z zamawiającym),</w:t>
      </w:r>
    </w:p>
    <w:p w14:paraId="32ED2F5C" w14:textId="77777777" w:rsidR="0015109B" w:rsidRDefault="0015109B" w:rsidP="0015109B">
      <w:pPr>
        <w:pStyle w:val="Default"/>
        <w:numPr>
          <w:ilvl w:val="0"/>
          <w:numId w:val="12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fotografie makro elementów dokumentowanych obiektów.</w:t>
      </w:r>
    </w:p>
    <w:p w14:paraId="503E9B70" w14:textId="77777777" w:rsidR="0015109B" w:rsidRDefault="0015109B" w:rsidP="0015109B">
      <w:pPr>
        <w:pStyle w:val="Default"/>
        <w:numPr>
          <w:ilvl w:val="0"/>
          <w:numId w:val="10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656A5F">
        <w:rPr>
          <w:sz w:val="22"/>
          <w:szCs w:val="22"/>
        </w:rPr>
        <w:t>ażd</w:t>
      </w:r>
      <w:r>
        <w:rPr>
          <w:sz w:val="22"/>
          <w:szCs w:val="22"/>
        </w:rPr>
        <w:t xml:space="preserve">y obiekt płaski należy </w:t>
      </w:r>
      <w:proofErr w:type="spellStart"/>
      <w:r>
        <w:rPr>
          <w:sz w:val="22"/>
          <w:szCs w:val="22"/>
        </w:rPr>
        <w:t>zdigitalizować</w:t>
      </w:r>
      <w:proofErr w:type="spellEnd"/>
      <w:r>
        <w:rPr>
          <w:sz w:val="22"/>
          <w:szCs w:val="22"/>
        </w:rPr>
        <w:t xml:space="preserve"> z dwóch stron (z wyjątkiem albumów lub innych form, gdzie awers i rewers zawierają inne obiekty).</w:t>
      </w:r>
      <w:r w:rsidRPr="00656A5F">
        <w:rPr>
          <w:sz w:val="22"/>
          <w:szCs w:val="22"/>
        </w:rPr>
        <w:t xml:space="preserve"> </w:t>
      </w:r>
    </w:p>
    <w:p w14:paraId="0CDDE850" w14:textId="77777777" w:rsidR="0015109B" w:rsidRDefault="0015109B" w:rsidP="0015109B">
      <w:pPr>
        <w:pStyle w:val="Default"/>
        <w:numPr>
          <w:ilvl w:val="0"/>
          <w:numId w:val="10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Dla grafik należy zapewnić zapis 100% informacji o kolorze w każdym pikselu (bez interpolacji).</w:t>
      </w:r>
    </w:p>
    <w:p w14:paraId="3826099F" w14:textId="77777777" w:rsidR="0015109B" w:rsidRDefault="0015109B" w:rsidP="0015109B">
      <w:pPr>
        <w:pStyle w:val="Default"/>
        <w:numPr>
          <w:ilvl w:val="0"/>
          <w:numId w:val="10"/>
        </w:num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>Dokumentację należy wykonać przy oświetleniu o współczynniku oddawania barw światła co najmniej na poziomie RA=95 (równoważnie w skali CRI).</w:t>
      </w:r>
    </w:p>
    <w:p w14:paraId="264BFA52" w14:textId="77777777" w:rsidR="0015109B" w:rsidRPr="0003197B" w:rsidRDefault="0015109B" w:rsidP="0015109B">
      <w:pPr>
        <w:pStyle w:val="Default"/>
        <w:numPr>
          <w:ilvl w:val="0"/>
          <w:numId w:val="10"/>
        </w:numPr>
        <w:jc w:val="both"/>
      </w:pPr>
      <w:r>
        <w:rPr>
          <w:sz w:val="22"/>
          <w:szCs w:val="22"/>
        </w:rPr>
        <w:t>P</w:t>
      </w:r>
      <w:r w:rsidRPr="00656A5F">
        <w:rPr>
          <w:sz w:val="22"/>
          <w:szCs w:val="22"/>
        </w:rPr>
        <w:t>liki należy umieścić w strukturze folderów, która zosta</w:t>
      </w:r>
      <w:r>
        <w:rPr>
          <w:sz w:val="22"/>
          <w:szCs w:val="22"/>
        </w:rPr>
        <w:t>ła</w:t>
      </w:r>
      <w:r w:rsidRPr="00656A5F">
        <w:rPr>
          <w:sz w:val="22"/>
          <w:szCs w:val="22"/>
        </w:rPr>
        <w:t xml:space="preserve"> określona w </w:t>
      </w:r>
      <w:r>
        <w:rPr>
          <w:sz w:val="22"/>
          <w:szCs w:val="22"/>
        </w:rPr>
        <w:t>dalszej części dokumentu w punkcie pod nazwą Magazynowanie danych.</w:t>
      </w:r>
      <w:r w:rsidRPr="00656A5F">
        <w:rPr>
          <w:sz w:val="22"/>
          <w:szCs w:val="22"/>
        </w:rPr>
        <w:t xml:space="preserve"> </w:t>
      </w:r>
    </w:p>
    <w:p w14:paraId="4BCEE24C" w14:textId="77777777" w:rsidR="0015109B" w:rsidRPr="00656A5F" w:rsidRDefault="0015109B" w:rsidP="0015109B">
      <w:pPr>
        <w:pStyle w:val="Default"/>
        <w:numPr>
          <w:ilvl w:val="0"/>
          <w:numId w:val="10"/>
        </w:numPr>
        <w:jc w:val="both"/>
      </w:pPr>
      <w:r>
        <w:rPr>
          <w:sz w:val="22"/>
          <w:szCs w:val="22"/>
        </w:rPr>
        <w:t>Tło: szare, białe, czarne.</w:t>
      </w:r>
    </w:p>
    <w:p w14:paraId="5ACC5486" w14:textId="77777777" w:rsidR="0015109B" w:rsidRDefault="0015109B" w:rsidP="0015109B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każdego katalogu plików źródłowych (RAW) obiektu, dołączony plik z wartościami referencyjnymi pól tablicy testowej w wartościach L*a*b*, czy ewentualnie wygenerowanym profilem ICC dla danego aparatu czy skanera. </w:t>
      </w:r>
    </w:p>
    <w:p w14:paraId="6BD38D7E" w14:textId="77777777" w:rsidR="0015109B" w:rsidRDefault="0015109B" w:rsidP="0015109B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Opisane pliki – do każdej nazwy pliku wprowadzony numer inwentarzowy </w:t>
      </w:r>
      <w:proofErr w:type="spellStart"/>
      <w:r>
        <w:rPr>
          <w:sz w:val="22"/>
          <w:szCs w:val="22"/>
        </w:rPr>
        <w:t>muzealium</w:t>
      </w:r>
      <w:proofErr w:type="spellEnd"/>
      <w:r>
        <w:rPr>
          <w:sz w:val="22"/>
          <w:szCs w:val="22"/>
        </w:rPr>
        <w:t xml:space="preserve">, zgodnie z zasadami określonymi w punkcie Nazewnictwo Plików poniżej. </w:t>
      </w:r>
    </w:p>
    <w:p w14:paraId="2DE7FB6F" w14:textId="77777777" w:rsidR="0015109B" w:rsidRDefault="0015109B" w:rsidP="0015109B">
      <w:pPr>
        <w:pStyle w:val="Default"/>
        <w:jc w:val="both"/>
        <w:rPr>
          <w:sz w:val="22"/>
          <w:szCs w:val="22"/>
        </w:rPr>
      </w:pPr>
    </w:p>
    <w:p w14:paraId="37A59117" w14:textId="77777777" w:rsidR="0015109B" w:rsidRDefault="0015109B" w:rsidP="0015109B">
      <w:pPr>
        <w:pStyle w:val="Default"/>
        <w:jc w:val="both"/>
        <w:rPr>
          <w:sz w:val="22"/>
          <w:szCs w:val="22"/>
        </w:rPr>
      </w:pPr>
    </w:p>
    <w:p w14:paraId="65BBE8EF" w14:textId="77777777" w:rsidR="0015109B" w:rsidRDefault="0015109B" w:rsidP="0015109B">
      <w:pPr>
        <w:pStyle w:val="Default"/>
        <w:jc w:val="both"/>
        <w:rPr>
          <w:sz w:val="22"/>
          <w:szCs w:val="22"/>
        </w:rPr>
      </w:pPr>
    </w:p>
    <w:p w14:paraId="74E400E6" w14:textId="77777777" w:rsidR="0015109B" w:rsidRDefault="0015109B" w:rsidP="0015109B">
      <w:pPr>
        <w:pStyle w:val="Nagwek1"/>
        <w:spacing w:after="240"/>
        <w:rPr>
          <w:sz w:val="24"/>
        </w:rPr>
      </w:pPr>
      <w:r w:rsidRPr="00AE50B7">
        <w:rPr>
          <w:sz w:val="24"/>
        </w:rPr>
        <w:lastRenderedPageBreak/>
        <w:t>Nazewnictwo Plików</w:t>
      </w:r>
    </w:p>
    <w:p w14:paraId="6A035CDB" w14:textId="77777777" w:rsidR="0015109B" w:rsidRDefault="0015109B" w:rsidP="0015109B">
      <w:pPr>
        <w:jc w:val="both"/>
      </w:pPr>
      <w:r w:rsidRPr="00616B09">
        <w:t xml:space="preserve">W nazwy pliku należy wprowadzić numery identyfikujące </w:t>
      </w:r>
      <w:r>
        <w:t xml:space="preserve">muzealia zgodnie ze standardem nazewnictwa i katalogowania plików dokumentacji wizualnej zbiorów muzealnych KAPER tj. </w:t>
      </w:r>
    </w:p>
    <w:p w14:paraId="1E0E2D94" w14:textId="77777777" w:rsidR="0015109B" w:rsidRPr="00BB731F" w:rsidRDefault="0015109B" w:rsidP="0015109B">
      <w:pPr>
        <w:jc w:val="both"/>
        <w:rPr>
          <w:color w:val="FF0000"/>
          <w:sz w:val="28"/>
        </w:rPr>
      </w:pPr>
      <w:r w:rsidRPr="00BB731F">
        <w:rPr>
          <w:color w:val="FF0000"/>
          <w:sz w:val="28"/>
        </w:rPr>
        <w:t>unikalny-numer-obiektu_numer-pliku_kategoria.rozszerzenie-nazwy-pliku</w:t>
      </w:r>
    </w:p>
    <w:p w14:paraId="20F74F73" w14:textId="77777777" w:rsidR="0015109B" w:rsidRDefault="0015109B" w:rsidP="0015109B">
      <w:pPr>
        <w:jc w:val="both"/>
      </w:pPr>
      <w:r>
        <w:t xml:space="preserve">gdzie występują następujące kategorie: </w:t>
      </w:r>
      <w:r w:rsidRPr="00E84F3C">
        <w:rPr>
          <w:b/>
          <w:bCs/>
        </w:rPr>
        <w:t>k</w:t>
      </w:r>
      <w:r w:rsidRPr="00E84F3C">
        <w:t xml:space="preserve">onserwacja, </w:t>
      </w:r>
      <w:r w:rsidRPr="00E84F3C">
        <w:rPr>
          <w:b/>
          <w:bCs/>
        </w:rPr>
        <w:t>a</w:t>
      </w:r>
      <w:r w:rsidRPr="00E84F3C">
        <w:t xml:space="preserve">rchiwum, </w:t>
      </w:r>
      <w:r w:rsidRPr="00E84F3C">
        <w:rPr>
          <w:b/>
          <w:bCs/>
        </w:rPr>
        <w:t>p</w:t>
      </w:r>
      <w:r w:rsidRPr="00E84F3C">
        <w:t xml:space="preserve">ublikacja, </w:t>
      </w:r>
      <w:r w:rsidRPr="00E84F3C">
        <w:rPr>
          <w:b/>
          <w:bCs/>
        </w:rPr>
        <w:t>e</w:t>
      </w:r>
      <w:r w:rsidRPr="00E84F3C">
        <w:t xml:space="preserve">widencja, </w:t>
      </w:r>
      <w:r w:rsidRPr="00E84F3C">
        <w:rPr>
          <w:b/>
          <w:bCs/>
        </w:rPr>
        <w:t>r</w:t>
      </w:r>
      <w:r w:rsidRPr="00E84F3C">
        <w:t>eportaż</w:t>
      </w:r>
      <w:r>
        <w:t xml:space="preserve">. </w:t>
      </w:r>
      <w:r>
        <w:br/>
        <w:t xml:space="preserve">W przypadku realizowanej dokumentacji wszystkie pliki powinny otrzymać kategorię </w:t>
      </w:r>
      <w:r w:rsidRPr="00E714E1">
        <w:rPr>
          <w:b/>
        </w:rPr>
        <w:t>e</w:t>
      </w:r>
      <w:r>
        <w:t xml:space="preserve"> (ewidencja) dla dokumentacji naukowej i </w:t>
      </w:r>
      <w:r w:rsidRPr="00CA3024">
        <w:rPr>
          <w:b/>
        </w:rPr>
        <w:t>p</w:t>
      </w:r>
      <w:r>
        <w:t xml:space="preserve"> dla plików prezentacyjnych. </w:t>
      </w:r>
    </w:p>
    <w:p w14:paraId="4AAFA999" w14:textId="77777777" w:rsidR="0015109B" w:rsidRDefault="0015109B" w:rsidP="0015109B">
      <w:pPr>
        <w:jc w:val="both"/>
      </w:pPr>
      <w:r>
        <w:t>Przykładowy zapis nazwy pliku:</w:t>
      </w:r>
    </w:p>
    <w:p w14:paraId="500A1C9C" w14:textId="77777777" w:rsidR="0015109B" w:rsidRDefault="0015109B" w:rsidP="0015109B">
      <w:pPr>
        <w:jc w:val="both"/>
      </w:pPr>
      <w:r>
        <w:t>mhmg-sd-123_img1234_e.raw</w:t>
      </w:r>
    </w:p>
    <w:p w14:paraId="2EF87832" w14:textId="77777777" w:rsidR="0015109B" w:rsidRDefault="0015109B" w:rsidP="0015109B">
      <w:pPr>
        <w:jc w:val="both"/>
      </w:pPr>
      <w:r>
        <w:t>mhmg-h-3521-123_3987_e.raw</w:t>
      </w:r>
    </w:p>
    <w:p w14:paraId="0D27E2BF" w14:textId="77777777" w:rsidR="0015109B" w:rsidRDefault="0015109B" w:rsidP="0015109B">
      <w:pPr>
        <w:jc w:val="both"/>
      </w:pPr>
      <w:r>
        <w:t>Należy pamiętać, że:</w:t>
      </w:r>
    </w:p>
    <w:p w14:paraId="4E325EED" w14:textId="77777777" w:rsidR="0015109B" w:rsidRDefault="0015109B" w:rsidP="0015109B">
      <w:pPr>
        <w:pStyle w:val="Akapitzlist"/>
        <w:numPr>
          <w:ilvl w:val="0"/>
          <w:numId w:val="11"/>
        </w:numPr>
        <w:jc w:val="both"/>
      </w:pPr>
      <w:r>
        <w:t xml:space="preserve">elementy nazwy przedzielane są </w:t>
      </w:r>
      <w:proofErr w:type="spellStart"/>
      <w:r>
        <w:t>podkreślnikiem</w:t>
      </w:r>
      <w:proofErr w:type="spellEnd"/>
      <w:r>
        <w:t xml:space="preserve"> „_”</w:t>
      </w:r>
    </w:p>
    <w:p w14:paraId="7D708402" w14:textId="77777777" w:rsidR="0015109B" w:rsidRDefault="0015109B" w:rsidP="0015109B">
      <w:pPr>
        <w:pStyle w:val="Akapitzlist"/>
        <w:numPr>
          <w:ilvl w:val="0"/>
          <w:numId w:val="11"/>
        </w:numPr>
        <w:jc w:val="both"/>
      </w:pPr>
      <w:r>
        <w:t>nazwę pliku piszemy bezwzględnie z małej litery.</w:t>
      </w:r>
    </w:p>
    <w:p w14:paraId="60853FBA" w14:textId="77777777" w:rsidR="0015109B" w:rsidRDefault="0015109B" w:rsidP="0015109B">
      <w:pPr>
        <w:pStyle w:val="Nagwek1"/>
        <w:spacing w:after="240"/>
        <w:rPr>
          <w:sz w:val="24"/>
        </w:rPr>
      </w:pPr>
      <w:r>
        <w:rPr>
          <w:sz w:val="24"/>
        </w:rPr>
        <w:t>Weryfikacja efektów</w:t>
      </w:r>
    </w:p>
    <w:p w14:paraId="72EABE46" w14:textId="77777777" w:rsidR="0015109B" w:rsidRPr="00872970" w:rsidRDefault="0015109B" w:rsidP="0015109B">
      <w:pPr>
        <w:jc w:val="both"/>
      </w:pPr>
      <w:r w:rsidRPr="00872970">
        <w:t>Zamawiający ma prawo i możliwość przeprowadzenia weryfikacji wytworzonych efektów digitalizacji, tak pod względem parametrów zgodności z</w:t>
      </w:r>
      <w:r>
        <w:t>e</w:t>
      </w:r>
      <w:r w:rsidRPr="00872970">
        <w:t xml:space="preserve"> składanymi raportami jak i oceny parametrów technicznych i jakości wytworzonych zasobów. </w:t>
      </w:r>
    </w:p>
    <w:p w14:paraId="32927F5D" w14:textId="77777777" w:rsidR="0015109B" w:rsidRPr="00872970" w:rsidRDefault="0015109B" w:rsidP="0015109B">
      <w:pPr>
        <w:jc w:val="both"/>
      </w:pPr>
      <w:r w:rsidRPr="00872970">
        <w:t xml:space="preserve">W przypadku więcej niż 5% błędnie </w:t>
      </w:r>
      <w:proofErr w:type="spellStart"/>
      <w:r w:rsidRPr="00872970">
        <w:t>zdigitalizowanych</w:t>
      </w:r>
      <w:proofErr w:type="spellEnd"/>
      <w:r w:rsidRPr="00872970">
        <w:t xml:space="preserve"> obiektów w ciągu dnia  (złe parametry digitalizacji, kiepska jakość) cały materiał zrealizowany danego dnia</w:t>
      </w:r>
      <w:r>
        <w:t xml:space="preserve"> zostanie zwrócony do ponownego wykonania</w:t>
      </w:r>
      <w:r w:rsidRPr="00872970">
        <w:t>. W przypadku błędów nazewnictwa, poprawa polega jedynie na korekcie nazewnictwa plików i ewentualnych wpisów w metadanych.</w:t>
      </w:r>
    </w:p>
    <w:p w14:paraId="392CD70C" w14:textId="77777777" w:rsidR="0015109B" w:rsidRDefault="0015109B" w:rsidP="0015109B">
      <w:pPr>
        <w:jc w:val="both"/>
      </w:pPr>
      <w:r w:rsidRPr="00872970">
        <w:t xml:space="preserve">W przypadku powtórzenia się 5% błędnie </w:t>
      </w:r>
      <w:proofErr w:type="spellStart"/>
      <w:r w:rsidRPr="00872970">
        <w:t>zdigitalizowanych</w:t>
      </w:r>
      <w:proofErr w:type="spellEnd"/>
      <w:r w:rsidRPr="00872970">
        <w:t xml:space="preserve"> obiektów w ciągu dnia dla</w:t>
      </w:r>
      <w:r>
        <w:t xml:space="preserve"> badanych</w:t>
      </w:r>
      <w:r w:rsidRPr="00872970">
        <w:t xml:space="preserve"> 5 dni w cyklu 30 dni – cały materiał </w:t>
      </w:r>
      <w:r>
        <w:t xml:space="preserve">z okresu 30 dni zostanie </w:t>
      </w:r>
      <w:r w:rsidRPr="00872970">
        <w:t>zwr</w:t>
      </w:r>
      <w:r>
        <w:t>ócony</w:t>
      </w:r>
      <w:r w:rsidRPr="00872970">
        <w:t xml:space="preserve"> do </w:t>
      </w:r>
      <w:r>
        <w:t>ponownej weryfikacji przez wykonawcę i poprawy.</w:t>
      </w:r>
      <w:r w:rsidRPr="00872970">
        <w:t xml:space="preserve"> </w:t>
      </w:r>
    </w:p>
    <w:p w14:paraId="0842AD0C" w14:textId="77777777" w:rsidR="0015109B" w:rsidRPr="000D1208" w:rsidRDefault="0015109B" w:rsidP="0015109B">
      <w:pPr>
        <w:pStyle w:val="Nagwek1"/>
        <w:spacing w:after="240"/>
        <w:rPr>
          <w:sz w:val="24"/>
        </w:rPr>
      </w:pPr>
      <w:r w:rsidRPr="000D1208">
        <w:rPr>
          <w:sz w:val="24"/>
        </w:rPr>
        <w:t>Magazynowanie danych</w:t>
      </w:r>
    </w:p>
    <w:p w14:paraId="00F555FE" w14:textId="77777777" w:rsidR="0015109B" w:rsidRPr="00BC3E19" w:rsidRDefault="0015109B" w:rsidP="0015109B">
      <w:pPr>
        <w:jc w:val="both"/>
        <w:rPr>
          <w:sz w:val="24"/>
        </w:rPr>
      </w:pPr>
      <w:r w:rsidRPr="00BC3E19">
        <w:rPr>
          <w:sz w:val="24"/>
        </w:rPr>
        <w:t xml:space="preserve">W trakcie realizacji zadania </w:t>
      </w:r>
      <w:r>
        <w:rPr>
          <w:sz w:val="24"/>
        </w:rPr>
        <w:t>W</w:t>
      </w:r>
      <w:r w:rsidRPr="00BC3E19">
        <w:rPr>
          <w:sz w:val="24"/>
        </w:rPr>
        <w:t xml:space="preserve">ykonawca </w:t>
      </w:r>
      <w:r>
        <w:rPr>
          <w:sz w:val="24"/>
        </w:rPr>
        <w:t>umieści</w:t>
      </w:r>
      <w:r w:rsidRPr="00BC3E19">
        <w:rPr>
          <w:sz w:val="24"/>
        </w:rPr>
        <w:t xml:space="preserve"> dane na przestrzeni dyskowej FTP lub innej</w:t>
      </w:r>
      <w:r>
        <w:rPr>
          <w:sz w:val="24"/>
        </w:rPr>
        <w:t xml:space="preserve"> udostępnionej przez Zamawiającego</w:t>
      </w:r>
      <w:r w:rsidRPr="00BC3E19">
        <w:rPr>
          <w:sz w:val="24"/>
        </w:rPr>
        <w:t xml:space="preserve">, w taki sposób, że </w:t>
      </w:r>
      <w:r>
        <w:rPr>
          <w:sz w:val="24"/>
        </w:rPr>
        <w:t>Z</w:t>
      </w:r>
      <w:r w:rsidRPr="00BC3E19">
        <w:rPr>
          <w:sz w:val="24"/>
        </w:rPr>
        <w:t>amawiający będzie mógł w dowolnym momencie przeglądać ów zasób.</w:t>
      </w:r>
    </w:p>
    <w:p w14:paraId="5EF0A054" w14:textId="77777777" w:rsidR="0015109B" w:rsidRPr="00BC3E19" w:rsidRDefault="0015109B" w:rsidP="0015109B">
      <w:pPr>
        <w:jc w:val="both"/>
        <w:rPr>
          <w:sz w:val="24"/>
        </w:rPr>
      </w:pPr>
      <w:r w:rsidRPr="00BC3E19">
        <w:rPr>
          <w:sz w:val="24"/>
        </w:rPr>
        <w:t>Każdego dnia po zakończeniu prac</w:t>
      </w:r>
      <w:r>
        <w:rPr>
          <w:sz w:val="24"/>
        </w:rPr>
        <w:t xml:space="preserve"> lub najpóźniej kolejnego dnia pracy</w:t>
      </w:r>
      <w:r w:rsidRPr="00BC3E19">
        <w:rPr>
          <w:sz w:val="24"/>
        </w:rPr>
        <w:t>, wykonawca będzie umieszczał dane na wskazanej przestrzeni umożliwiając zamawiającemu:</w:t>
      </w:r>
    </w:p>
    <w:p w14:paraId="5043930D" w14:textId="77777777" w:rsidR="0015109B" w:rsidRPr="00BC3E19" w:rsidRDefault="0015109B" w:rsidP="0015109B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BC3E19">
        <w:rPr>
          <w:sz w:val="24"/>
        </w:rPr>
        <w:lastRenderedPageBreak/>
        <w:t>śledzenie na bieżąco postępów prac w ramach zamówienia</w:t>
      </w:r>
    </w:p>
    <w:p w14:paraId="4B6D4B8A" w14:textId="77777777" w:rsidR="0015109B" w:rsidRPr="00BC3E19" w:rsidRDefault="0015109B" w:rsidP="0015109B">
      <w:pPr>
        <w:pStyle w:val="Akapitzlist"/>
        <w:numPr>
          <w:ilvl w:val="0"/>
          <w:numId w:val="9"/>
        </w:numPr>
        <w:jc w:val="both"/>
        <w:rPr>
          <w:sz w:val="24"/>
        </w:rPr>
      </w:pPr>
      <w:r w:rsidRPr="00BC3E19">
        <w:rPr>
          <w:sz w:val="24"/>
        </w:rPr>
        <w:t>weryfikację na bieżąco wytwarzanych zasobów.</w:t>
      </w:r>
    </w:p>
    <w:p w14:paraId="3AF7C39A" w14:textId="77777777" w:rsidR="0015109B" w:rsidRPr="00BC3E19" w:rsidRDefault="0015109B" w:rsidP="0015109B">
      <w:pPr>
        <w:pStyle w:val="Akapitzlist"/>
        <w:jc w:val="both"/>
        <w:rPr>
          <w:sz w:val="24"/>
        </w:rPr>
      </w:pPr>
    </w:p>
    <w:p w14:paraId="4E17B5F3" w14:textId="77777777" w:rsidR="0015109B" w:rsidRDefault="0015109B" w:rsidP="0015109B">
      <w:pPr>
        <w:jc w:val="both"/>
        <w:rPr>
          <w:sz w:val="24"/>
        </w:rPr>
      </w:pPr>
      <w:r w:rsidRPr="00BC3E19">
        <w:rPr>
          <w:sz w:val="24"/>
        </w:rPr>
        <w:t>Dane należy umieścić w strukturze folderów wskazaną w punkcie Struktura Folderów poniżej</w:t>
      </w:r>
      <w:r>
        <w:rPr>
          <w:sz w:val="24"/>
        </w:rPr>
        <w:t xml:space="preserve">, </w:t>
      </w:r>
      <w:r w:rsidRPr="006A5A4E">
        <w:rPr>
          <w:sz w:val="24"/>
        </w:rPr>
        <w:t>zgodnie ze standardem nazewnictwa i katalogowania plików dokumentacji wizualnej zbiorów muzealnych KAPER</w:t>
      </w:r>
      <w:r w:rsidRPr="006A5A4E">
        <w:rPr>
          <w:sz w:val="28"/>
        </w:rPr>
        <w:t>.</w:t>
      </w:r>
      <w:r>
        <w:rPr>
          <w:sz w:val="28"/>
        </w:rPr>
        <w:t xml:space="preserve"> </w:t>
      </w:r>
      <w:r w:rsidRPr="006A5A4E">
        <w:rPr>
          <w:sz w:val="24"/>
        </w:rPr>
        <w:t xml:space="preserve">Nazwy katalogów należy pisać małą literą. </w:t>
      </w:r>
    </w:p>
    <w:p w14:paraId="7EABFE4B" w14:textId="77777777" w:rsidR="0015109B" w:rsidRDefault="0015109B" w:rsidP="0015109B">
      <w:pPr>
        <w:jc w:val="both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054A0B96" wp14:editId="04AB3ECE">
            <wp:extent cx="2057400" cy="1657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78D57" w14:textId="77777777" w:rsidR="0015109B" w:rsidRDefault="0015109B" w:rsidP="0015109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Fig.2. </w:t>
      </w:r>
      <w:r w:rsidRPr="001D1519">
        <w:rPr>
          <w:rFonts w:cstheme="minorHAnsi"/>
          <w:sz w:val="20"/>
          <w:szCs w:val="20"/>
        </w:rPr>
        <w:t>Układ katalogów wewnątrz sesji</w:t>
      </w:r>
    </w:p>
    <w:p w14:paraId="7F061373" w14:textId="77777777" w:rsidR="0015109B" w:rsidRDefault="0015109B" w:rsidP="0015109B">
      <w:pPr>
        <w:rPr>
          <w:rFonts w:ascii="Rockwell Nova" w:hAnsi="Rockwell Nova"/>
          <w:sz w:val="26"/>
          <w:szCs w:val="26"/>
        </w:rPr>
      </w:pPr>
      <w:r>
        <w:rPr>
          <w:noProof/>
        </w:rPr>
        <w:drawing>
          <wp:inline distT="0" distB="0" distL="0" distR="0" wp14:anchorId="389518FD" wp14:editId="4AEC6592">
            <wp:extent cx="2028825" cy="24193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5229B" w14:textId="77777777" w:rsidR="0015109B" w:rsidRPr="00FE69E6" w:rsidRDefault="0015109B" w:rsidP="0015109B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Fig.3. </w:t>
      </w:r>
      <w:r w:rsidRPr="00FE69E6">
        <w:rPr>
          <w:rFonts w:cstheme="minorHAnsi"/>
          <w:sz w:val="20"/>
          <w:szCs w:val="20"/>
        </w:rPr>
        <w:t xml:space="preserve">Układ katalogów wewnątrz sesji, z wyszczególnieniem katalogów </w:t>
      </w:r>
      <w:r>
        <w:rPr>
          <w:rFonts w:cstheme="minorHAnsi"/>
          <w:sz w:val="20"/>
          <w:szCs w:val="20"/>
        </w:rPr>
        <w:t xml:space="preserve">według </w:t>
      </w:r>
      <w:r w:rsidRPr="00FE69E6">
        <w:rPr>
          <w:rFonts w:cstheme="minorHAnsi"/>
          <w:sz w:val="20"/>
          <w:szCs w:val="20"/>
        </w:rPr>
        <w:t xml:space="preserve">formatów plików. </w:t>
      </w:r>
    </w:p>
    <w:p w14:paraId="56AD69A7" w14:textId="77777777" w:rsidR="0015109B" w:rsidRDefault="0015109B" w:rsidP="0015109B">
      <w:pPr>
        <w:jc w:val="both"/>
        <w:rPr>
          <w:sz w:val="24"/>
        </w:rPr>
      </w:pPr>
      <w:r w:rsidRPr="00BC3E19">
        <w:rPr>
          <w:sz w:val="24"/>
        </w:rPr>
        <w:t>Ponadto, wykonawca będzie prowadził wersję backup wytwarzanych danych, w taki sposób, że w każdym momencie realizacji zamówienia będą istniały dwie kopie danych do jednego dnia wstecz włącznie</w:t>
      </w:r>
      <w:r>
        <w:rPr>
          <w:sz w:val="24"/>
        </w:rPr>
        <w:t xml:space="preserve"> (u Zamawiającego i u Wykonawcy)</w:t>
      </w:r>
      <w:r w:rsidRPr="00BC3E19">
        <w:rPr>
          <w:sz w:val="24"/>
        </w:rPr>
        <w:t xml:space="preserve">. Przy wskazanym rozwiązaniu, wystąpienie awarii/błędu grozi utratą jedynie najnowszych danych (z jednego dnia), </w:t>
      </w:r>
      <w:r>
        <w:rPr>
          <w:sz w:val="24"/>
        </w:rPr>
        <w:br/>
      </w:r>
      <w:r w:rsidRPr="00BC3E19">
        <w:rPr>
          <w:sz w:val="24"/>
        </w:rPr>
        <w:t>dla których nie została zastosowana procedura  tworzenia kopii zapasowej.</w:t>
      </w:r>
    </w:p>
    <w:p w14:paraId="55BB013C" w14:textId="77777777" w:rsidR="0015109B" w:rsidRDefault="0015109B" w:rsidP="0015109B">
      <w:pPr>
        <w:jc w:val="both"/>
        <w:rPr>
          <w:sz w:val="24"/>
        </w:rPr>
      </w:pPr>
      <w:r>
        <w:rPr>
          <w:sz w:val="24"/>
        </w:rPr>
        <w:t>Po zakończeniu realizacji zamówienia i przeprowadzeniu odbiorów, Wykonawca zachowa jedną kopię danych przez okres obowiązywania gwarancji.</w:t>
      </w:r>
    </w:p>
    <w:p w14:paraId="022B4546" w14:textId="77777777" w:rsidR="0015109B" w:rsidRDefault="0015109B" w:rsidP="0015109B">
      <w:pPr>
        <w:jc w:val="both"/>
        <w:rPr>
          <w:sz w:val="24"/>
        </w:rPr>
      </w:pPr>
    </w:p>
    <w:p w14:paraId="4CBD7981" w14:textId="668046FA" w:rsidR="00912D2B" w:rsidRPr="00A55EA1" w:rsidRDefault="0015109B" w:rsidP="0015109B">
      <w:pPr>
        <w:jc w:val="both"/>
      </w:pPr>
      <w:r>
        <w:rPr>
          <w:sz w:val="24"/>
        </w:rPr>
        <w:t xml:space="preserve">Zaleca się aby rozpoczęcie prac nastąpiło od dnia 15 sierpnia 2019 r. </w:t>
      </w:r>
      <w:bookmarkEnd w:id="0"/>
    </w:p>
    <w:sectPr w:rsidR="00912D2B" w:rsidRPr="00A55EA1" w:rsidSect="00C01B69">
      <w:headerReference w:type="even" r:id="rId11"/>
      <w:headerReference w:type="default" r:id="rId12"/>
      <w:headerReference w:type="first" r:id="rId13"/>
      <w:pgSz w:w="11906" w:h="16838"/>
      <w:pgMar w:top="226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5B2AE" w14:textId="77777777" w:rsidR="002D60C2" w:rsidRDefault="002D60C2" w:rsidP="00B31FC6">
      <w:pPr>
        <w:spacing w:after="0" w:line="240" w:lineRule="auto"/>
      </w:pPr>
      <w:r>
        <w:separator/>
      </w:r>
    </w:p>
  </w:endnote>
  <w:endnote w:type="continuationSeparator" w:id="0">
    <w:p w14:paraId="554CA4C1" w14:textId="77777777" w:rsidR="002D60C2" w:rsidRDefault="002D60C2" w:rsidP="00B3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Nova">
    <w:charset w:val="00"/>
    <w:family w:val="roman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B31DF" w14:textId="77777777" w:rsidR="002D60C2" w:rsidRDefault="002D60C2" w:rsidP="00B31FC6">
      <w:pPr>
        <w:spacing w:after="0" w:line="240" w:lineRule="auto"/>
      </w:pPr>
      <w:r>
        <w:separator/>
      </w:r>
    </w:p>
  </w:footnote>
  <w:footnote w:type="continuationSeparator" w:id="0">
    <w:p w14:paraId="14C44CA4" w14:textId="77777777" w:rsidR="002D60C2" w:rsidRDefault="002D60C2" w:rsidP="00B3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6EE7A" w14:textId="77777777" w:rsidR="0022611B" w:rsidRDefault="002D60C2">
    <w:pPr>
      <w:pStyle w:val="Nagwek"/>
    </w:pPr>
    <w:r>
      <w:rPr>
        <w:noProof/>
      </w:rPr>
      <w:pict w14:anchorId="7DB1DC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6" o:spid="_x0000_s2050" type="#_x0000_t75" style="position:absolute;margin-left:0;margin-top:0;width:595.3pt;height:842.05pt;z-index:-251657216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2219" w14:textId="77777777" w:rsidR="0022611B" w:rsidRDefault="002D60C2">
    <w:pPr>
      <w:pStyle w:val="Nagwek"/>
    </w:pPr>
    <w:r>
      <w:rPr>
        <w:noProof/>
      </w:rPr>
      <w:pict w14:anchorId="2B755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51" type="#_x0000_t75" style="position:absolute;margin-left:-71pt;margin-top:-113.35pt;width:595.3pt;height:842.05pt;z-index:-251656192;mso-position-horizontal-relative:margin;mso-position-vertical-relative:margin" o:allowincell="f">
          <v:imagedata r:id="rId1" o:title="tlo 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EDC9" w14:textId="77777777" w:rsidR="0022611B" w:rsidRDefault="002D60C2">
    <w:pPr>
      <w:pStyle w:val="Nagwek"/>
    </w:pPr>
    <w:r>
      <w:rPr>
        <w:noProof/>
      </w:rPr>
      <w:pict w14:anchorId="4E9F4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5" o:spid="_x0000_s2049" type="#_x0000_t75" style="position:absolute;margin-left:0;margin-top:0;width:595.3pt;height:842.05pt;z-index:-251658240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ED4"/>
    <w:multiLevelType w:val="hybridMultilevel"/>
    <w:tmpl w:val="5F688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787F"/>
    <w:multiLevelType w:val="hybridMultilevel"/>
    <w:tmpl w:val="22488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332"/>
    <w:multiLevelType w:val="hybridMultilevel"/>
    <w:tmpl w:val="19D43AB8"/>
    <w:lvl w:ilvl="0" w:tplc="F2F41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F73B1"/>
    <w:multiLevelType w:val="hybridMultilevel"/>
    <w:tmpl w:val="6640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147C4"/>
    <w:multiLevelType w:val="hybridMultilevel"/>
    <w:tmpl w:val="8AAEBF40"/>
    <w:lvl w:ilvl="0" w:tplc="EF448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576FB"/>
    <w:multiLevelType w:val="hybridMultilevel"/>
    <w:tmpl w:val="03C61A64"/>
    <w:lvl w:ilvl="0" w:tplc="ACD4E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C0729B"/>
    <w:multiLevelType w:val="hybridMultilevel"/>
    <w:tmpl w:val="80CEE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20206"/>
    <w:multiLevelType w:val="hybridMultilevel"/>
    <w:tmpl w:val="BB7E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067D"/>
    <w:multiLevelType w:val="hybridMultilevel"/>
    <w:tmpl w:val="2BBC48C8"/>
    <w:lvl w:ilvl="0" w:tplc="460207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004119"/>
    <w:multiLevelType w:val="hybridMultilevel"/>
    <w:tmpl w:val="73503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735A4"/>
    <w:multiLevelType w:val="hybridMultilevel"/>
    <w:tmpl w:val="E2A6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D2C98"/>
    <w:multiLevelType w:val="hybridMultilevel"/>
    <w:tmpl w:val="86642348"/>
    <w:lvl w:ilvl="0" w:tplc="93861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C6"/>
    <w:rsid w:val="00080714"/>
    <w:rsid w:val="00085C1B"/>
    <w:rsid w:val="000B07F2"/>
    <w:rsid w:val="000C2E4B"/>
    <w:rsid w:val="00105E87"/>
    <w:rsid w:val="0015109B"/>
    <w:rsid w:val="001C7C62"/>
    <w:rsid w:val="00202DF1"/>
    <w:rsid w:val="00203BC6"/>
    <w:rsid w:val="00212603"/>
    <w:rsid w:val="0022611B"/>
    <w:rsid w:val="00263338"/>
    <w:rsid w:val="00272B27"/>
    <w:rsid w:val="002B075F"/>
    <w:rsid w:val="002C76C7"/>
    <w:rsid w:val="002D60C2"/>
    <w:rsid w:val="00324482"/>
    <w:rsid w:val="00336191"/>
    <w:rsid w:val="003472F2"/>
    <w:rsid w:val="00396DD3"/>
    <w:rsid w:val="0042651B"/>
    <w:rsid w:val="0048695E"/>
    <w:rsid w:val="004B4E31"/>
    <w:rsid w:val="004C57DE"/>
    <w:rsid w:val="004F3D6A"/>
    <w:rsid w:val="00524DF7"/>
    <w:rsid w:val="005758B1"/>
    <w:rsid w:val="00611D19"/>
    <w:rsid w:val="006366F6"/>
    <w:rsid w:val="00677399"/>
    <w:rsid w:val="006F749E"/>
    <w:rsid w:val="00706DD7"/>
    <w:rsid w:val="007209BB"/>
    <w:rsid w:val="00722DED"/>
    <w:rsid w:val="007425BB"/>
    <w:rsid w:val="00771CE8"/>
    <w:rsid w:val="007A7EC7"/>
    <w:rsid w:val="007C39B4"/>
    <w:rsid w:val="007E6205"/>
    <w:rsid w:val="007F4BE8"/>
    <w:rsid w:val="008F1706"/>
    <w:rsid w:val="00912D2B"/>
    <w:rsid w:val="00913AE0"/>
    <w:rsid w:val="00914FF1"/>
    <w:rsid w:val="0093139E"/>
    <w:rsid w:val="0094253B"/>
    <w:rsid w:val="00983BFB"/>
    <w:rsid w:val="009946E8"/>
    <w:rsid w:val="009D10F4"/>
    <w:rsid w:val="009F06FE"/>
    <w:rsid w:val="009F31B4"/>
    <w:rsid w:val="00A418C6"/>
    <w:rsid w:val="00A55EA1"/>
    <w:rsid w:val="00A74426"/>
    <w:rsid w:val="00AB3C63"/>
    <w:rsid w:val="00AF7A21"/>
    <w:rsid w:val="00B03F80"/>
    <w:rsid w:val="00B30947"/>
    <w:rsid w:val="00B31FC6"/>
    <w:rsid w:val="00B42D45"/>
    <w:rsid w:val="00B62844"/>
    <w:rsid w:val="00C01B69"/>
    <w:rsid w:val="00C12F26"/>
    <w:rsid w:val="00C30C39"/>
    <w:rsid w:val="00C7570B"/>
    <w:rsid w:val="00C87285"/>
    <w:rsid w:val="00C93467"/>
    <w:rsid w:val="00CA5B09"/>
    <w:rsid w:val="00D34595"/>
    <w:rsid w:val="00D84FD9"/>
    <w:rsid w:val="00D9705E"/>
    <w:rsid w:val="00DA3DC1"/>
    <w:rsid w:val="00DD0977"/>
    <w:rsid w:val="00E25B96"/>
    <w:rsid w:val="00E642ED"/>
    <w:rsid w:val="00EA4818"/>
    <w:rsid w:val="00ED3D84"/>
    <w:rsid w:val="00EE1A6B"/>
    <w:rsid w:val="00EE5C04"/>
    <w:rsid w:val="00F511B5"/>
    <w:rsid w:val="00F520D0"/>
    <w:rsid w:val="00F56079"/>
    <w:rsid w:val="00F81168"/>
    <w:rsid w:val="00F84BFD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8D2906"/>
  <w15:chartTrackingRefBased/>
  <w15:docId w15:val="{3CB653DE-8C94-4532-8856-1009CD9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19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C6"/>
  </w:style>
  <w:style w:type="paragraph" w:styleId="Stopka">
    <w:name w:val="footer"/>
    <w:basedOn w:val="Normalny"/>
    <w:link w:val="Stopka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C6"/>
  </w:style>
  <w:style w:type="paragraph" w:styleId="Tekstdymka">
    <w:name w:val="Balloon Text"/>
    <w:basedOn w:val="Normalny"/>
    <w:link w:val="TekstdymkaZnak"/>
    <w:uiPriority w:val="99"/>
    <w:semiHidden/>
    <w:unhideWhenUsed/>
    <w:rsid w:val="00B3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5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25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61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51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czerwca 2018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904128-458E-4D0D-B291-294B544D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Hubert Kotarski</cp:lastModifiedBy>
  <cp:revision>3</cp:revision>
  <cp:lastPrinted>2019-01-21T15:09:00Z</cp:lastPrinted>
  <dcterms:created xsi:type="dcterms:W3CDTF">2019-08-01T08:55:00Z</dcterms:created>
  <dcterms:modified xsi:type="dcterms:W3CDTF">2019-08-06T11:44:00Z</dcterms:modified>
</cp:coreProperties>
</file>